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4EBF1B" w14:textId="7C3507ED" w:rsidR="006D750A" w:rsidRDefault="006D750A" w:rsidP="006D750A">
      <w:pPr>
        <w:jc w:val="center"/>
        <w:rPr>
          <w:b/>
          <w:bCs/>
          <w:sz w:val="28"/>
          <w:szCs w:val="28"/>
        </w:rPr>
      </w:pPr>
      <w:r>
        <w:rPr>
          <w:rFonts w:ascii="Arial" w:hAnsi="Arial" w:cs="Arial"/>
          <w:noProof/>
          <w:color w:val="444444"/>
          <w:sz w:val="21"/>
          <w:szCs w:val="21"/>
          <w:lang w:val="en-US"/>
        </w:rPr>
        <w:drawing>
          <wp:inline distT="0" distB="0" distL="0" distR="0" wp14:anchorId="197E0004" wp14:editId="3538A15C">
            <wp:extent cx="2508548" cy="995818"/>
            <wp:effectExtent l="0" t="0" r="0" b="0"/>
            <wp:docPr id="1" name="Picture 1" descr="Logo Instit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stitu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11792" cy="1036803"/>
                    </a:xfrm>
                    <a:prstGeom prst="rect">
                      <a:avLst/>
                    </a:prstGeom>
                    <a:noFill/>
                    <a:ln>
                      <a:noFill/>
                    </a:ln>
                  </pic:spPr>
                </pic:pic>
              </a:graphicData>
            </a:graphic>
          </wp:inline>
        </w:drawing>
      </w:r>
    </w:p>
    <w:p w14:paraId="23F84B6E" w14:textId="77777777" w:rsidR="00CD63E6" w:rsidRDefault="00CD63E6" w:rsidP="006D750A">
      <w:pPr>
        <w:jc w:val="center"/>
        <w:rPr>
          <w:b/>
          <w:bCs/>
        </w:rPr>
      </w:pPr>
    </w:p>
    <w:p w14:paraId="77C54323" w14:textId="00E5C97B" w:rsidR="00875C64" w:rsidRDefault="006D750A" w:rsidP="00CD63E6">
      <w:pPr>
        <w:jc w:val="center"/>
        <w:rPr>
          <w:b/>
          <w:bCs/>
          <w:sz w:val="26"/>
          <w:szCs w:val="26"/>
        </w:rPr>
      </w:pPr>
      <w:r w:rsidRPr="006D750A">
        <w:rPr>
          <w:b/>
          <w:bCs/>
          <w:sz w:val="26"/>
          <w:szCs w:val="26"/>
        </w:rPr>
        <w:t>WHY ICC STATES PARTIES SHOULD RATIFY THE CRIME OF AGGRESSION AMENDMENTS</w:t>
      </w:r>
    </w:p>
    <w:p w14:paraId="434B0F60" w14:textId="77777777" w:rsidR="00C56B23" w:rsidRDefault="00C56B23" w:rsidP="006D750A">
      <w:pPr>
        <w:jc w:val="center"/>
        <w:rPr>
          <w:b/>
          <w:bCs/>
          <w:sz w:val="26"/>
          <w:szCs w:val="26"/>
        </w:rPr>
      </w:pPr>
    </w:p>
    <w:p w14:paraId="21971594" w14:textId="77777777" w:rsidR="00CD63E6" w:rsidRPr="00CD63E6" w:rsidRDefault="00CD63E6" w:rsidP="006D750A">
      <w:pPr>
        <w:jc w:val="center"/>
        <w:rPr>
          <w:b/>
          <w:bCs/>
          <w:sz w:val="23"/>
          <w:szCs w:val="23"/>
        </w:rPr>
      </w:pPr>
    </w:p>
    <w:p w14:paraId="4EA33789" w14:textId="3123C194" w:rsidR="00CD63E6" w:rsidRPr="0023540B" w:rsidRDefault="001C2D4E">
      <w:pPr>
        <w:rPr>
          <w:b/>
          <w:bCs/>
          <w:i/>
          <w:iCs/>
        </w:rPr>
      </w:pPr>
      <w:r w:rsidRPr="0023540B">
        <w:rPr>
          <w:b/>
          <w:bCs/>
          <w:i/>
          <w:iCs/>
        </w:rPr>
        <w:t>The crime of aggression is one of the four core crimes recognised by international law</w:t>
      </w:r>
    </w:p>
    <w:p w14:paraId="1CB8E09C" w14:textId="46FF63C4" w:rsidR="003C73C7" w:rsidRPr="0023540B" w:rsidRDefault="001C2D4E">
      <w:r w:rsidRPr="0023540B">
        <w:t xml:space="preserve">The crime of aggression was originally known in Nuremberg and Tokyo as ‘crimes against peace’. The </w:t>
      </w:r>
      <w:r w:rsidR="003C73C7" w:rsidRPr="0023540B">
        <w:t xml:space="preserve">crime was described by the Nuremberg Tribunal as ‘the supreme crime’, containing within itself ‘the evil of the whole’. This was the Nuremberg Tribunal’s way of noting that it is the decision to go to war that is the original wrong that creates a situation in which other serious international crimes are all too often committed. </w:t>
      </w:r>
    </w:p>
    <w:p w14:paraId="01876F9D" w14:textId="77777777" w:rsidR="003C73C7" w:rsidRPr="0023540B" w:rsidRDefault="003C73C7"/>
    <w:p w14:paraId="7A9D79A9" w14:textId="57CE7482" w:rsidR="001C2D4E" w:rsidRPr="0023540B" w:rsidRDefault="003C73C7">
      <w:r w:rsidRPr="0023540B">
        <w:t xml:space="preserve">Prosecutions for genocide, crimes against humanity or war crimes, however, </w:t>
      </w:r>
      <w:r w:rsidR="00A85CE3" w:rsidRPr="0023540B">
        <w:t xml:space="preserve">are not a substitute </w:t>
      </w:r>
      <w:r w:rsidRPr="0023540B">
        <w:t xml:space="preserve">for </w:t>
      </w:r>
      <w:r w:rsidR="00A85CE3" w:rsidRPr="0023540B">
        <w:t xml:space="preserve">a prosecution of </w:t>
      </w:r>
      <w:r w:rsidR="00BC14E5" w:rsidRPr="0023540B">
        <w:t xml:space="preserve">the </w:t>
      </w:r>
      <w:r w:rsidRPr="0023540B">
        <w:t>crime of aggression. Apart from the fact that the perpetrators of various crimes will often be different individuals, those crimes do not capture the harm done to a victim State’s sovereignty, its territorial integrity</w:t>
      </w:r>
      <w:r w:rsidR="007F4398" w:rsidRPr="0023540B">
        <w:t>,</w:t>
      </w:r>
      <w:r w:rsidRPr="0023540B">
        <w:t xml:space="preserve"> or its political independence. They also fail to capture the death and destruction that is lawful under the law of armed conflict, including the killing of combatants and the permissible collateral death and injury of civilians.</w:t>
      </w:r>
    </w:p>
    <w:p w14:paraId="705C05B6" w14:textId="77777777" w:rsidR="001C2D4E" w:rsidRPr="0023540B" w:rsidRDefault="001C2D4E">
      <w:pPr>
        <w:rPr>
          <w:b/>
          <w:bCs/>
          <w:i/>
          <w:iCs/>
        </w:rPr>
      </w:pPr>
    </w:p>
    <w:p w14:paraId="0487696D" w14:textId="6F0AC0C7" w:rsidR="00075459" w:rsidRPr="0023540B" w:rsidRDefault="00BE4AFE">
      <w:r w:rsidRPr="0023540B">
        <w:rPr>
          <w:b/>
          <w:bCs/>
          <w:i/>
          <w:iCs/>
        </w:rPr>
        <w:t xml:space="preserve">The crime </w:t>
      </w:r>
      <w:r w:rsidR="00C87B73" w:rsidRPr="0023540B">
        <w:rPr>
          <w:b/>
          <w:bCs/>
          <w:i/>
          <w:iCs/>
        </w:rPr>
        <w:t xml:space="preserve">of aggression </w:t>
      </w:r>
      <w:r w:rsidRPr="0023540B">
        <w:rPr>
          <w:b/>
          <w:bCs/>
          <w:i/>
          <w:iCs/>
        </w:rPr>
        <w:t>has been carefully defined</w:t>
      </w:r>
    </w:p>
    <w:p w14:paraId="796DB46A" w14:textId="2DBCF7A3" w:rsidR="00E73AB2" w:rsidRPr="0023540B" w:rsidRDefault="000E4B3E">
      <w:r w:rsidRPr="0023540B">
        <w:t>The crime of aggression is defined in Article 8</w:t>
      </w:r>
      <w:r w:rsidRPr="0023540B">
        <w:rPr>
          <w:i/>
          <w:iCs/>
        </w:rPr>
        <w:t>bis</w:t>
      </w:r>
      <w:r w:rsidRPr="0023540B">
        <w:t xml:space="preserve"> of the Rome Statute. The definition attaches individual criminal responsibility to ‘manifest violations’ of the prohibition of the use of force enshrined under both Article 2(4) of the UN Charter and customary international law. While the definition has not yet been the subject of judicial consideration, it is widely agreed that a manifest violation </w:t>
      </w:r>
      <w:r w:rsidR="00075459" w:rsidRPr="0023540B">
        <w:t>refers to a use of force</w:t>
      </w:r>
      <w:r w:rsidRPr="0023540B">
        <w:t xml:space="preserve"> that </w:t>
      </w:r>
      <w:r w:rsidR="00075459" w:rsidRPr="0023540B">
        <w:t xml:space="preserve">is both </w:t>
      </w:r>
      <w:r w:rsidRPr="0023540B">
        <w:t>unambiguously unlawful</w:t>
      </w:r>
      <w:r w:rsidR="00075459" w:rsidRPr="0023540B">
        <w:t>, and which is serious in terms of its consequences. In this way, just as not all violations of international humanitarian law amount to war crimes, not all unlawful use</w:t>
      </w:r>
      <w:r w:rsidR="00E73AB2" w:rsidRPr="0023540B">
        <w:t>s</w:t>
      </w:r>
      <w:r w:rsidR="00075459" w:rsidRPr="0023540B">
        <w:t xml:space="preserve"> of force will </w:t>
      </w:r>
      <w:r w:rsidR="00E73AB2" w:rsidRPr="0023540B">
        <w:t>form the basis of</w:t>
      </w:r>
      <w:r w:rsidR="00075459" w:rsidRPr="0023540B">
        <w:t xml:space="preserve"> </w:t>
      </w:r>
      <w:r w:rsidR="00613B71" w:rsidRPr="0023540B">
        <w:t>the</w:t>
      </w:r>
      <w:r w:rsidR="00075459" w:rsidRPr="0023540B">
        <w:t xml:space="preserve"> crime of aggression. The recognition that not all </w:t>
      </w:r>
      <w:r w:rsidR="00E73AB2" w:rsidRPr="0023540B">
        <w:t xml:space="preserve">unlawful uses of force attract individual criminal responsibility is consistent with the origins of the crime in Nuremberg and Tokyo, where the State act element of the crime was effectively limited to ‘wars of aggression’. It also reflects the fact that distinctions are drawn in the </w:t>
      </w:r>
      <w:r w:rsidR="00E73AB2" w:rsidRPr="0023540B">
        <w:rPr>
          <w:i/>
          <w:iCs/>
        </w:rPr>
        <w:t>jus ad bellum</w:t>
      </w:r>
      <w:r w:rsidR="00E73AB2" w:rsidRPr="0023540B">
        <w:t xml:space="preserve"> between unlawful uses of force of varying gravity: it is, for example, well understood that only those unlawful uses of force that amount to an armed attack </w:t>
      </w:r>
      <w:r w:rsidR="003257AF" w:rsidRPr="0023540B">
        <w:t xml:space="preserve">trigger </w:t>
      </w:r>
      <w:r w:rsidR="00E73AB2" w:rsidRPr="0023540B">
        <w:t xml:space="preserve">the right of self-defence; Article 39 of the UN Charter </w:t>
      </w:r>
      <w:r w:rsidR="00B33EC2" w:rsidRPr="0023540B">
        <w:t>similarly</w:t>
      </w:r>
      <w:r w:rsidR="00E73AB2" w:rsidRPr="0023540B">
        <w:t xml:space="preserve"> distinguishes between threats to the peace, breaches of the peace, and acts of aggression.</w:t>
      </w:r>
    </w:p>
    <w:p w14:paraId="1CAC1DE3" w14:textId="77777777" w:rsidR="00E73AB2" w:rsidRPr="0023540B" w:rsidRDefault="00E73AB2"/>
    <w:p w14:paraId="53996409" w14:textId="77A282C6" w:rsidR="00E73AB2" w:rsidRPr="0023540B" w:rsidRDefault="003F7FEB">
      <w:r w:rsidRPr="0023540B">
        <w:t>The crime of aggression is a leadership crime: o</w:t>
      </w:r>
      <w:r w:rsidR="00E73AB2" w:rsidRPr="0023540B">
        <w:t>nly those ‘in a position effectively to exercise control over or to direct the political or military act</w:t>
      </w:r>
      <w:r w:rsidR="009856AD" w:rsidRPr="0023540B">
        <w:t>ion</w:t>
      </w:r>
      <w:r w:rsidR="00E73AB2" w:rsidRPr="0023540B">
        <w:t xml:space="preserve"> of a State’ can be prosecuted. To be held individually criminally responsible, </w:t>
      </w:r>
      <w:r w:rsidR="00871AC6" w:rsidRPr="0023540B">
        <w:t xml:space="preserve">such persons must have </w:t>
      </w:r>
      <w:r w:rsidRPr="0023540B">
        <w:t>engaged in the planning, preparation, initiation o</w:t>
      </w:r>
      <w:r w:rsidR="00BE4AFE" w:rsidRPr="0023540B">
        <w:t>r</w:t>
      </w:r>
      <w:r w:rsidRPr="0023540B">
        <w:t xml:space="preserve"> execution of the relevant State act of aggression.</w:t>
      </w:r>
      <w:r w:rsidR="00BE4AFE" w:rsidRPr="0023540B">
        <w:t xml:space="preserve"> </w:t>
      </w:r>
      <w:r w:rsidR="00E73AB2" w:rsidRPr="0023540B">
        <w:t xml:space="preserve">In this way, the internationally agreed definition of the crime </w:t>
      </w:r>
      <w:r w:rsidRPr="0023540B">
        <w:t xml:space="preserve">is focused on </w:t>
      </w:r>
      <w:r w:rsidR="00BE4AFE" w:rsidRPr="0023540B">
        <w:t xml:space="preserve">those most responsible for </w:t>
      </w:r>
      <w:r w:rsidRPr="0023540B">
        <w:t xml:space="preserve">the </w:t>
      </w:r>
      <w:r w:rsidR="00BE4AFE" w:rsidRPr="0023540B">
        <w:t xml:space="preserve">most concerning examples of </w:t>
      </w:r>
      <w:r w:rsidR="001C3B52" w:rsidRPr="0023540B">
        <w:t xml:space="preserve">the </w:t>
      </w:r>
      <w:r w:rsidR="00BE4AFE" w:rsidRPr="0023540B">
        <w:t>unlawful uses of armed force.</w:t>
      </w:r>
    </w:p>
    <w:p w14:paraId="1C553A68" w14:textId="77777777" w:rsidR="00075459" w:rsidRPr="0023540B" w:rsidRDefault="00075459"/>
    <w:p w14:paraId="1175491B" w14:textId="77777777" w:rsidR="00BA0847" w:rsidRPr="0023540B" w:rsidRDefault="00075459" w:rsidP="00075459">
      <w:r w:rsidRPr="0023540B">
        <w:t xml:space="preserve">The definition </w:t>
      </w:r>
      <w:r w:rsidR="00BE4AFE" w:rsidRPr="0023540B">
        <w:t xml:space="preserve">of the crime </w:t>
      </w:r>
      <w:r w:rsidRPr="0023540B">
        <w:t>was adopted by ICC States Parties by consensus, the result of decades of negotiations, which were open to both States Parties and Non-States Parties</w:t>
      </w:r>
      <w:r w:rsidR="001C3B52" w:rsidRPr="0023540B">
        <w:t xml:space="preserve"> alike</w:t>
      </w:r>
      <w:r w:rsidRPr="0023540B">
        <w:t xml:space="preserve">. </w:t>
      </w:r>
      <w:r w:rsidR="00BE4AFE" w:rsidRPr="0023540B">
        <w:t xml:space="preserve">All </w:t>
      </w:r>
      <w:r w:rsidR="00BE4AFE" w:rsidRPr="0023540B">
        <w:lastRenderedPageBreak/>
        <w:t>States should be able to support the definition given it embodies the keystone rule of the international order, namely the obligation to refrain from the unlawful use of force.</w:t>
      </w:r>
    </w:p>
    <w:p w14:paraId="28BDCB30" w14:textId="77777777" w:rsidR="00BA0847" w:rsidRPr="0023540B" w:rsidRDefault="00BA0847" w:rsidP="00075459"/>
    <w:p w14:paraId="18DB76A5" w14:textId="56A4F5C4" w:rsidR="00BE4AFE" w:rsidRPr="0023540B" w:rsidRDefault="00BE4AFE" w:rsidP="00075459">
      <w:pPr>
        <w:rPr>
          <w:b/>
          <w:bCs/>
          <w:i/>
          <w:iCs/>
        </w:rPr>
      </w:pPr>
      <w:r w:rsidRPr="0023540B">
        <w:rPr>
          <w:b/>
          <w:bCs/>
          <w:i/>
          <w:iCs/>
        </w:rPr>
        <w:t xml:space="preserve">Ratification underscores a commitment to the prohibition of the use of force </w:t>
      </w:r>
    </w:p>
    <w:p w14:paraId="01B8D068" w14:textId="5CDAF392" w:rsidR="001C3B52" w:rsidRPr="0023540B" w:rsidRDefault="001C3B52" w:rsidP="001C3B52">
      <w:r w:rsidRPr="0023540B">
        <w:t xml:space="preserve">All States, to greater or lesser extents, depend on the prohibition of the use of force for their national security and their economic prosperity. Regardless of any changes that the international legal order is currently undergoing, there can be no doubt that the prohibition will continue to play a central function in the international order. This does not mean, however, that the prohibition of the use of force can be taken for granted. In light of the number of grave violations of the prohibition we have witnessed in recent years, it is in the interests of all States to take steps to actively reinforce the prohibition. </w:t>
      </w:r>
    </w:p>
    <w:p w14:paraId="2417DC8E" w14:textId="77777777" w:rsidR="001C3B52" w:rsidRPr="0023540B" w:rsidRDefault="001C3B52" w:rsidP="00075459"/>
    <w:p w14:paraId="52FD3493" w14:textId="0DEC501F" w:rsidR="002E03CD" w:rsidRPr="0023540B" w:rsidRDefault="00627FE5" w:rsidP="00075459">
      <w:r w:rsidRPr="0023540B">
        <w:t xml:space="preserve">Ratification of the </w:t>
      </w:r>
      <w:r w:rsidR="003257AF" w:rsidRPr="0023540B">
        <w:t xml:space="preserve">Kampala </w:t>
      </w:r>
      <w:r w:rsidRPr="0023540B">
        <w:t xml:space="preserve">amendments reinforces a </w:t>
      </w:r>
      <w:proofErr w:type="gramStart"/>
      <w:r w:rsidRPr="0023540B">
        <w:t>State’s</w:t>
      </w:r>
      <w:proofErr w:type="gramEnd"/>
      <w:r w:rsidRPr="0023540B">
        <w:t xml:space="preserve"> commitment to the prohibition of the unlawful use of force. It does this in two ways. It signals that the ratifying State is itself committed to refraining from the unlawful use of force in its international relations. It also contributes towards the creation of an avenue of enforcement applicable when other States commit manifest violations of the prohibition.</w:t>
      </w:r>
      <w:r w:rsidR="002E03CD" w:rsidRPr="0023540B">
        <w:t xml:space="preserve"> </w:t>
      </w:r>
    </w:p>
    <w:p w14:paraId="0B33CC5A" w14:textId="77777777" w:rsidR="002E03CD" w:rsidRPr="0023540B" w:rsidRDefault="002E03CD" w:rsidP="00075459"/>
    <w:p w14:paraId="5B3C931C" w14:textId="12650D8A" w:rsidR="00627FE5" w:rsidRPr="0023540B" w:rsidRDefault="005E4C05" w:rsidP="00075459">
      <w:r w:rsidRPr="0023540B">
        <w:t xml:space="preserve">Collectively, ratifications </w:t>
      </w:r>
      <w:r w:rsidR="002E03CD" w:rsidRPr="0023540B">
        <w:t xml:space="preserve">also </w:t>
      </w:r>
      <w:r w:rsidRPr="0023540B">
        <w:t>send a clear deterrent message to would-be aggressors</w:t>
      </w:r>
      <w:r w:rsidR="002E03CD" w:rsidRPr="0023540B">
        <w:t>. This</w:t>
      </w:r>
      <w:r w:rsidRPr="0023540B">
        <w:t xml:space="preserve"> enhanc</w:t>
      </w:r>
      <w:r w:rsidR="002E03CD" w:rsidRPr="0023540B">
        <w:t>es</w:t>
      </w:r>
      <w:r w:rsidRPr="0023540B">
        <w:t xml:space="preserve"> the protection offered by the Kampala amendments.</w:t>
      </w:r>
      <w:r w:rsidR="002E03CD" w:rsidRPr="0023540B">
        <w:t xml:space="preserve"> It can do so directly when ratification would activate the ICC’s jurisdiction over a specific act of aggression that has been contemplated by an aggressor State. Protection is, however, also enhanced indirectly through the strengthening of the collective commitment to holding those responsible for crimes of aggression to account – even when this can only take the form of condemnation by political bodies or the court of public opinion. Current events aptly demonstrate that </w:t>
      </w:r>
      <w:r w:rsidR="00DF4D89" w:rsidRPr="0023540B">
        <w:t xml:space="preserve">reputation is a critical currency for </w:t>
      </w:r>
      <w:r w:rsidR="002E03CD" w:rsidRPr="0023540B">
        <w:t>even the most powerful States and leaders</w:t>
      </w:r>
      <w:r w:rsidR="00DF4D89" w:rsidRPr="0023540B">
        <w:t>.</w:t>
      </w:r>
    </w:p>
    <w:p w14:paraId="6CCE8214" w14:textId="77777777" w:rsidR="00837E4C" w:rsidRPr="0023540B" w:rsidRDefault="00837E4C" w:rsidP="00075459"/>
    <w:p w14:paraId="0AD4143D" w14:textId="3838E1B9" w:rsidR="007465A5" w:rsidRPr="0023540B" w:rsidRDefault="007465A5" w:rsidP="00075459">
      <w:pPr>
        <w:rPr>
          <w:b/>
          <w:bCs/>
          <w:i/>
          <w:iCs/>
        </w:rPr>
      </w:pPr>
      <w:r w:rsidRPr="0023540B">
        <w:rPr>
          <w:b/>
          <w:bCs/>
          <w:i/>
          <w:iCs/>
        </w:rPr>
        <w:t xml:space="preserve">Ratification enhances protection through the expansion of the ICC’s jurisdiction </w:t>
      </w:r>
    </w:p>
    <w:p w14:paraId="28A85A0A" w14:textId="7D862F0E" w:rsidR="007465A5" w:rsidRPr="0023540B" w:rsidRDefault="007465A5" w:rsidP="00075459">
      <w:r w:rsidRPr="0023540B">
        <w:t>Under Article 15</w:t>
      </w:r>
      <w:r w:rsidRPr="0023540B">
        <w:rPr>
          <w:i/>
          <w:iCs/>
        </w:rPr>
        <w:t>ter</w:t>
      </w:r>
      <w:r w:rsidRPr="0023540B">
        <w:t xml:space="preserve"> of the Rome Statute, the ICC has jurisdiction over any crime of aggression occurring in a situation referred to the Court by the UN Security Council. </w:t>
      </w:r>
    </w:p>
    <w:p w14:paraId="688BA7E9" w14:textId="77777777" w:rsidR="007465A5" w:rsidRPr="0023540B" w:rsidRDefault="007465A5" w:rsidP="00075459"/>
    <w:p w14:paraId="1728B550" w14:textId="7A3A9C86" w:rsidR="00E4388A" w:rsidRPr="0023540B" w:rsidRDefault="00E4388A" w:rsidP="00E4388A">
      <w:r w:rsidRPr="0023540B">
        <w:t>Article 15</w:t>
      </w:r>
      <w:r w:rsidRPr="0023540B">
        <w:rPr>
          <w:i/>
          <w:iCs/>
        </w:rPr>
        <w:t>bis</w:t>
      </w:r>
      <w:r w:rsidRPr="0023540B">
        <w:t>, which governs State referrals and investigations initiated by the ICC Prosecutor, creates a jurisdictional regime that is</w:t>
      </w:r>
      <w:r w:rsidR="00A90D82" w:rsidRPr="0023540B">
        <w:t xml:space="preserve"> peculiar</w:t>
      </w:r>
      <w:r w:rsidRPr="0023540B">
        <w:t xml:space="preserve"> to the crime of aggression. It is clear that under </w:t>
      </w:r>
      <w:r w:rsidR="00A90D82" w:rsidRPr="0023540B">
        <w:t>Article 15</w:t>
      </w:r>
      <w:proofErr w:type="gramStart"/>
      <w:r w:rsidR="00A90D82" w:rsidRPr="0023540B">
        <w:rPr>
          <w:i/>
          <w:iCs/>
        </w:rPr>
        <w:t>bis</w:t>
      </w:r>
      <w:r w:rsidR="00A90D82" w:rsidRPr="0023540B">
        <w:t>(</w:t>
      </w:r>
      <w:proofErr w:type="gramEnd"/>
      <w:r w:rsidR="00A90D82" w:rsidRPr="0023540B">
        <w:t>5)</w:t>
      </w:r>
      <w:r w:rsidRPr="0023540B">
        <w:t xml:space="preserve">, the ICC cannot exercise jurisdiction over any crime of aggression involving a Non-State Party as either victim or aggressor. The proper interpretation of </w:t>
      </w:r>
      <w:r w:rsidR="00A90D82" w:rsidRPr="0023540B">
        <w:t>Article 15</w:t>
      </w:r>
      <w:proofErr w:type="gramStart"/>
      <w:r w:rsidR="00A90D82" w:rsidRPr="0023540B">
        <w:rPr>
          <w:i/>
          <w:iCs/>
        </w:rPr>
        <w:t>bis</w:t>
      </w:r>
      <w:r w:rsidR="00A90D82" w:rsidRPr="0023540B">
        <w:t>(</w:t>
      </w:r>
      <w:proofErr w:type="gramEnd"/>
      <w:r w:rsidR="00A90D82" w:rsidRPr="0023540B">
        <w:t>4), concerning States Parties,</w:t>
      </w:r>
      <w:r w:rsidR="003E7E31" w:rsidRPr="0023540B">
        <w:t xml:space="preserve"> </w:t>
      </w:r>
      <w:r w:rsidRPr="0023540B">
        <w:t xml:space="preserve">is contested. </w:t>
      </w:r>
      <w:r w:rsidR="00A90D82" w:rsidRPr="0023540B">
        <w:t>However, t</w:t>
      </w:r>
      <w:r w:rsidRPr="0023540B">
        <w:t>he</w:t>
      </w:r>
      <w:r w:rsidR="007465A5" w:rsidRPr="0023540B">
        <w:t xml:space="preserve"> majority of </w:t>
      </w:r>
      <w:r w:rsidR="00A90D82" w:rsidRPr="0023540B">
        <w:t xml:space="preserve">States that have expressed a view, and the majority of </w:t>
      </w:r>
      <w:r w:rsidR="007465A5" w:rsidRPr="0023540B">
        <w:t>experts</w:t>
      </w:r>
      <w:r w:rsidR="00A90D82" w:rsidRPr="0023540B">
        <w:t xml:space="preserve"> who have </w:t>
      </w:r>
      <w:r w:rsidR="00F72859" w:rsidRPr="0023540B">
        <w:t xml:space="preserve">opined on </w:t>
      </w:r>
      <w:r w:rsidR="00A90D82" w:rsidRPr="0023540B">
        <w:t>the matter</w:t>
      </w:r>
      <w:r w:rsidR="003E7E31" w:rsidRPr="0023540B">
        <w:t>,</w:t>
      </w:r>
      <w:r w:rsidR="00A90D82" w:rsidRPr="0023540B">
        <w:t xml:space="preserve"> have concluded</w:t>
      </w:r>
      <w:r w:rsidR="007465A5" w:rsidRPr="0023540B">
        <w:t xml:space="preserve"> that the ICC can exercise jurisdiction </w:t>
      </w:r>
      <w:r w:rsidRPr="0023540B">
        <w:t xml:space="preserve">(after the proper authorisation has been provided) </w:t>
      </w:r>
      <w:r w:rsidR="007465A5" w:rsidRPr="0023540B">
        <w:t xml:space="preserve">where the Kampala amendments have been ratified by </w:t>
      </w:r>
      <w:r w:rsidRPr="0023540B">
        <w:rPr>
          <w:i/>
          <w:iCs/>
        </w:rPr>
        <w:t>either</w:t>
      </w:r>
      <w:r w:rsidRPr="0023540B">
        <w:t xml:space="preserve"> </w:t>
      </w:r>
      <w:r w:rsidR="007465A5" w:rsidRPr="0023540B">
        <w:t xml:space="preserve">the victim </w:t>
      </w:r>
      <w:r w:rsidR="007465A5" w:rsidRPr="0023540B">
        <w:rPr>
          <w:i/>
          <w:iCs/>
        </w:rPr>
        <w:t>or</w:t>
      </w:r>
      <w:r w:rsidR="007465A5" w:rsidRPr="0023540B">
        <w:t xml:space="preserve"> </w:t>
      </w:r>
      <w:r w:rsidRPr="0023540B">
        <w:t xml:space="preserve">the </w:t>
      </w:r>
      <w:r w:rsidR="007465A5" w:rsidRPr="0023540B">
        <w:t>aggressor State Party, so long as the aggressor</w:t>
      </w:r>
      <w:r w:rsidRPr="0023540B">
        <w:t xml:space="preserve"> State Party has not previously lodged a declaration opting out of the Court’s jurisdiction over the crime. </w:t>
      </w:r>
    </w:p>
    <w:p w14:paraId="6837859E" w14:textId="77777777" w:rsidR="00E4388A" w:rsidRPr="0023540B" w:rsidRDefault="00E4388A" w:rsidP="00E4388A"/>
    <w:p w14:paraId="21F995AF" w14:textId="4B246A9B" w:rsidR="006D750A" w:rsidRPr="0023540B" w:rsidRDefault="00E4388A" w:rsidP="00075459">
      <w:pPr>
        <w:rPr>
          <w:b/>
          <w:bCs/>
          <w:i/>
          <w:iCs/>
        </w:rPr>
      </w:pPr>
      <w:r w:rsidRPr="0023540B">
        <w:t>In this way, while the ICC’s jurisdiction over the crime of aggression operates more narrowly compared to the Court’s jurisdiction over other crimes, every ratification does increase the protection offered to ratifying States Parties.</w:t>
      </w:r>
      <w:r w:rsidR="002E03CD" w:rsidRPr="0023540B">
        <w:t xml:space="preserve">  Would-be aggressors will think twice before unlawfully using force against a victim State when they know that those most responsible for planning, preparing, initiating and execut</w:t>
      </w:r>
      <w:r w:rsidR="00851F7B" w:rsidRPr="0023540B">
        <w:t>ing</w:t>
      </w:r>
      <w:r w:rsidR="001C2D4E" w:rsidRPr="0023540B">
        <w:t xml:space="preserve"> an act of aggression that amounts to</w:t>
      </w:r>
      <w:r w:rsidR="002E03CD" w:rsidRPr="0023540B">
        <w:t xml:space="preserve"> a manifest violation of the prohibition of the use of force</w:t>
      </w:r>
      <w:r w:rsidR="003257AF" w:rsidRPr="0023540B">
        <w:t xml:space="preserve"> </w:t>
      </w:r>
      <w:r w:rsidR="002E03CD" w:rsidRPr="0023540B">
        <w:t>risk being the subject of an ICC arrest warrant.</w:t>
      </w:r>
    </w:p>
    <w:p w14:paraId="09441EAD" w14:textId="77777777" w:rsidR="006D750A" w:rsidRPr="0023540B" w:rsidRDefault="006D750A" w:rsidP="00075459">
      <w:pPr>
        <w:rPr>
          <w:b/>
          <w:bCs/>
          <w:i/>
          <w:iCs/>
        </w:rPr>
      </w:pPr>
    </w:p>
    <w:p w14:paraId="2213BC0A" w14:textId="77777777" w:rsidR="0023540B" w:rsidRPr="0023540B" w:rsidRDefault="00837E4C" w:rsidP="00075459">
      <w:pPr>
        <w:rPr>
          <w:b/>
          <w:bCs/>
          <w:i/>
          <w:iCs/>
        </w:rPr>
      </w:pPr>
      <w:r w:rsidRPr="0023540B">
        <w:rPr>
          <w:b/>
          <w:bCs/>
          <w:i/>
          <w:iCs/>
        </w:rPr>
        <w:t>Expressing support for the eventual harmoni</w:t>
      </w:r>
      <w:r w:rsidR="00851F7B" w:rsidRPr="0023540B">
        <w:rPr>
          <w:b/>
          <w:bCs/>
          <w:i/>
          <w:iCs/>
        </w:rPr>
        <w:t>s</w:t>
      </w:r>
      <w:r w:rsidRPr="0023540B">
        <w:rPr>
          <w:b/>
          <w:bCs/>
          <w:i/>
          <w:iCs/>
        </w:rPr>
        <w:t>ation of the ICC’s jurisdiction over all crimes</w:t>
      </w:r>
    </w:p>
    <w:p w14:paraId="5F4553F2" w14:textId="43515417" w:rsidR="001D5CCB" w:rsidRPr="0023540B" w:rsidRDefault="00837E4C" w:rsidP="00075459">
      <w:r w:rsidRPr="0023540B">
        <w:t>A proposal to amend the ICC’s jurisdiction over the crime of aggression</w:t>
      </w:r>
      <w:r w:rsidR="001D5CCB" w:rsidRPr="0023540B">
        <w:t xml:space="preserve"> has been tabled and will be considered at a Special Session of the Assembly of States Parties to be convened in 2029, with consultations on the proposal being held </w:t>
      </w:r>
      <w:r w:rsidR="003C73C7" w:rsidRPr="0023540B">
        <w:t>in the interim</w:t>
      </w:r>
      <w:r w:rsidR="001D5CCB" w:rsidRPr="0023540B">
        <w:t xml:space="preserve">. The objective of the proposed amendment is to harmonise the Court’s jurisdiction over the crime of aggression with its jurisdiction over genocide, crimes against humanity and war crimes by removing the </w:t>
      </w:r>
      <w:r w:rsidR="003E7E31" w:rsidRPr="0023540B">
        <w:t>N</w:t>
      </w:r>
      <w:r w:rsidR="001D5CCB" w:rsidRPr="0023540B">
        <w:t>on-State Party carve out, and the ability of aggressor States</w:t>
      </w:r>
      <w:r w:rsidR="001C2D4E" w:rsidRPr="0023540B">
        <w:t xml:space="preserve"> Parties</w:t>
      </w:r>
      <w:r w:rsidR="001D5CCB" w:rsidRPr="0023540B">
        <w:t xml:space="preserve"> to opt out of the Court’s jurisdiction</w:t>
      </w:r>
      <w:r w:rsidR="00E4388A" w:rsidRPr="0023540B">
        <w:t xml:space="preserve"> over the crime</w:t>
      </w:r>
      <w:r w:rsidR="001D5CCB" w:rsidRPr="0023540B">
        <w:t xml:space="preserve">. In this way, the proposed amendment </w:t>
      </w:r>
      <w:r w:rsidR="00C87B73" w:rsidRPr="0023540B">
        <w:t xml:space="preserve">seeks to respond to </w:t>
      </w:r>
      <w:r w:rsidR="007465A5" w:rsidRPr="0023540B">
        <w:t xml:space="preserve">widespread </w:t>
      </w:r>
      <w:r w:rsidR="00C87B73" w:rsidRPr="0023540B">
        <w:t>concerns expressed about double standards and exceptionalism in international law</w:t>
      </w:r>
      <w:r w:rsidR="001C2D4E" w:rsidRPr="0023540B">
        <w:t>,</w:t>
      </w:r>
      <w:r w:rsidR="007465A5" w:rsidRPr="0023540B">
        <w:t xml:space="preserve"> and</w:t>
      </w:r>
      <w:r w:rsidR="001D5CCB" w:rsidRPr="0023540B">
        <w:t xml:space="preserve"> to enhance the principle of equality before the law</w:t>
      </w:r>
      <w:r w:rsidR="00C87B73" w:rsidRPr="0023540B">
        <w:t>.</w:t>
      </w:r>
    </w:p>
    <w:p w14:paraId="5C5A6720" w14:textId="77777777" w:rsidR="003C73C7" w:rsidRPr="0023540B" w:rsidRDefault="003C73C7" w:rsidP="00075459"/>
    <w:p w14:paraId="45A27A9F" w14:textId="0C5C47AA" w:rsidR="00221081" w:rsidRPr="0023540B" w:rsidRDefault="00C87B73" w:rsidP="00221081">
      <w:pPr>
        <w:rPr>
          <w:b/>
          <w:bCs/>
          <w:i/>
          <w:iCs/>
        </w:rPr>
      </w:pPr>
      <w:r w:rsidRPr="0023540B">
        <w:t>While ratification of the Kampala amendments before 2029</w:t>
      </w:r>
      <w:r w:rsidR="007465A5" w:rsidRPr="0023540B">
        <w:t xml:space="preserve"> will only enable the ICC to exercise jurisdiction in line with the existing provisions in Articles 15</w:t>
      </w:r>
      <w:r w:rsidR="007465A5" w:rsidRPr="0023540B">
        <w:rPr>
          <w:i/>
        </w:rPr>
        <w:t>bis</w:t>
      </w:r>
      <w:r w:rsidR="007465A5" w:rsidRPr="0023540B">
        <w:t xml:space="preserve"> and 15</w:t>
      </w:r>
      <w:r w:rsidR="007465A5" w:rsidRPr="0023540B">
        <w:rPr>
          <w:i/>
        </w:rPr>
        <w:t>ter</w:t>
      </w:r>
      <w:r w:rsidR="007465A5" w:rsidRPr="0023540B">
        <w:t>,</w:t>
      </w:r>
      <w:r w:rsidR="00E4388A" w:rsidRPr="0023540B">
        <w:t xml:space="preserve"> every ratification will help demonstrate that States Parties are committed to holding those leaders responsible for manifest violations of the prohibition of the use of force to account. This will reduce the space for aggression sceptics to claim that there is a lack of support for the criminalisation of aggression, which will in turn help build support for the proposed amendments</w:t>
      </w:r>
      <w:r w:rsidR="00E4388A" w:rsidRPr="0023540B">
        <w:rPr>
          <w:rFonts w:cstheme="minorHAnsi"/>
        </w:rPr>
        <w:t>.</w:t>
      </w:r>
      <w:r w:rsidR="009A4CB8" w:rsidRPr="0023540B">
        <w:rPr>
          <w:rFonts w:cstheme="minorHAnsi"/>
        </w:rPr>
        <w:t xml:space="preserve">  </w:t>
      </w:r>
      <w:r w:rsidR="009A4CB8" w:rsidRPr="0023540B">
        <w:rPr>
          <w:rFonts w:eastAsia="Times New Roman" w:cstheme="minorHAnsi"/>
          <w:color w:val="212121"/>
          <w:kern w:val="0"/>
          <w:lang w:eastAsia="en-GB"/>
          <w14:ligatures w14:val="none"/>
        </w:rPr>
        <w:t>There is, therefore, no contradiction between being disappointed in the outcome of the Kampala Review Conference and ratifying the aggression amendments.</w:t>
      </w:r>
    </w:p>
    <w:p w14:paraId="5B12B1FD" w14:textId="77777777" w:rsidR="006D750A" w:rsidRPr="0023540B" w:rsidRDefault="006D750A" w:rsidP="00221081">
      <w:pPr>
        <w:rPr>
          <w:b/>
          <w:bCs/>
          <w:i/>
          <w:iCs/>
        </w:rPr>
      </w:pPr>
    </w:p>
    <w:p w14:paraId="05470586" w14:textId="7EF012EB" w:rsidR="00221081" w:rsidRPr="0023540B" w:rsidRDefault="00221081" w:rsidP="00221081">
      <w:pPr>
        <w:rPr>
          <w:b/>
          <w:bCs/>
          <w:i/>
          <w:iCs/>
        </w:rPr>
      </w:pPr>
      <w:r w:rsidRPr="0023540B">
        <w:rPr>
          <w:b/>
          <w:bCs/>
          <w:i/>
          <w:iCs/>
        </w:rPr>
        <w:t>Avoiding fragmented responses to crimes of aggression</w:t>
      </w:r>
    </w:p>
    <w:p w14:paraId="28C49722" w14:textId="4419A756" w:rsidR="00221081" w:rsidRPr="0023540B" w:rsidRDefault="00221081" w:rsidP="007465A5">
      <w:r w:rsidRPr="0023540B">
        <w:t>The Non-State Party carve out under Article 15</w:t>
      </w:r>
      <w:r w:rsidRPr="0023540B">
        <w:rPr>
          <w:i/>
          <w:iCs/>
        </w:rPr>
        <w:t>bis</w:t>
      </w:r>
      <w:r w:rsidRPr="0023540B">
        <w:t xml:space="preserve"> is the reason why States had to create an ad hoc tribunal to investigate and prosecute crimes of aggression committed in the context of Russia’s invasion of Ukraine. While the commitment to holding those responsible for manifest violations of the UN Charter</w:t>
      </w:r>
      <w:r w:rsidR="0097547F" w:rsidRPr="0023540B">
        <w:t xml:space="preserve"> committed</w:t>
      </w:r>
      <w:r w:rsidRPr="0023540B">
        <w:t xml:space="preserve"> in this situation is admirable, resort to an ad hoc solution is clearly sub-optimal. Among other things, it is inconsistent with the imperative that lies behind the creation of a permanent international criminal court with universal jurisdiction. Ratification of the Kampala amendments, combined with support for the proposed amendment of the ICC’s jurisdiction over the crime of aggression, will help avoid the need for fragmented responses to crimes of aggression in the future.</w:t>
      </w:r>
    </w:p>
    <w:p w14:paraId="679476E7" w14:textId="77777777" w:rsidR="00221081" w:rsidRPr="0023540B" w:rsidRDefault="00221081" w:rsidP="007465A5">
      <w:pPr>
        <w:rPr>
          <w:b/>
          <w:bCs/>
          <w:i/>
          <w:iCs/>
        </w:rPr>
      </w:pPr>
    </w:p>
    <w:p w14:paraId="2AE45823" w14:textId="78BC2DC0" w:rsidR="007465A5" w:rsidRPr="0023540B" w:rsidRDefault="007465A5" w:rsidP="007465A5">
      <w:pPr>
        <w:rPr>
          <w:b/>
          <w:bCs/>
          <w:i/>
          <w:iCs/>
        </w:rPr>
      </w:pPr>
      <w:r w:rsidRPr="0023540B">
        <w:rPr>
          <w:b/>
          <w:bCs/>
          <w:i/>
          <w:iCs/>
        </w:rPr>
        <w:t xml:space="preserve">Ratification signals a State’s support </w:t>
      </w:r>
      <w:r w:rsidR="001C2D4E" w:rsidRPr="0023540B">
        <w:rPr>
          <w:b/>
          <w:bCs/>
          <w:i/>
          <w:iCs/>
        </w:rPr>
        <w:t>for</w:t>
      </w:r>
      <w:r w:rsidRPr="0023540B">
        <w:rPr>
          <w:b/>
          <w:bCs/>
          <w:i/>
          <w:iCs/>
        </w:rPr>
        <w:t xml:space="preserve"> the ICC</w:t>
      </w:r>
    </w:p>
    <w:p w14:paraId="7E54FB95" w14:textId="6785B651" w:rsidR="00221081" w:rsidRPr="0023540B" w:rsidRDefault="007465A5" w:rsidP="007465A5">
      <w:r w:rsidRPr="0023540B">
        <w:t>The ICC is currently under attack from States that wish to frustrate the execution of the Court’s mandate to help ensure that the most serious crimes of concern to the international community as a whole must not go unpunished. Ratification of the Kampala amendments will grow the Court’s jurisdiction over one of its four core crimes and in this way underscore a ratifying State’s commitment to the ICC and to the aim of ensuring that those responsible for serious international crimes are held to account.</w:t>
      </w:r>
      <w:r w:rsidR="00221081" w:rsidRPr="0023540B">
        <w:t xml:space="preserve"> </w:t>
      </w:r>
    </w:p>
    <w:p w14:paraId="6A85CD92" w14:textId="77777777" w:rsidR="00221081" w:rsidRPr="0023540B" w:rsidRDefault="00221081" w:rsidP="007465A5"/>
    <w:p w14:paraId="2054BD50" w14:textId="60CD228A" w:rsidR="00CD63E6" w:rsidRPr="0023540B" w:rsidRDefault="00221081">
      <w:r w:rsidRPr="0023540B">
        <w:t xml:space="preserve">Indeed, supporting the ICC is especially important in the context of the crime of aggression. The restriction of the class of potential perpetrators of the crime to leaders means that, very often, suspects will be immune from prosecution before foreign domestic courts. In order </w:t>
      </w:r>
      <w:r w:rsidR="00DD1F2F" w:rsidRPr="0023540B">
        <w:t xml:space="preserve">also </w:t>
      </w:r>
      <w:r w:rsidRPr="0023540B">
        <w:t>to minimise the risk of victor’s justice (or victim’s revenge)</w:t>
      </w:r>
      <w:r w:rsidR="001C2D4E" w:rsidRPr="0023540B">
        <w:t>,</w:t>
      </w:r>
      <w:r w:rsidRPr="0023540B">
        <w:t xml:space="preserve"> and to ensure that judges possess the necessary expertise in the </w:t>
      </w:r>
      <w:r w:rsidRPr="0023540B">
        <w:rPr>
          <w:i/>
        </w:rPr>
        <w:t>jus ad bellum</w:t>
      </w:r>
      <w:r w:rsidRPr="0023540B">
        <w:t>, the crime of aggression has long been considered as being more appropriately dealt with on the international stage.</w:t>
      </w:r>
    </w:p>
    <w:sectPr w:rsidR="00CD63E6" w:rsidRPr="0023540B" w:rsidSect="009E67C3">
      <w:footerReference w:type="first" r:id="rId7"/>
      <w:pgSz w:w="11906" w:h="16838"/>
      <w:pgMar w:top="1247" w:right="1247" w:bottom="1247"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462202" w14:textId="77777777" w:rsidR="0007415B" w:rsidRDefault="0007415B" w:rsidP="009E67C3">
      <w:r>
        <w:separator/>
      </w:r>
    </w:p>
  </w:endnote>
  <w:endnote w:type="continuationSeparator" w:id="0">
    <w:p w14:paraId="10CF424A" w14:textId="77777777" w:rsidR="0007415B" w:rsidRDefault="0007415B" w:rsidP="009E6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B9B712" w14:textId="3EDC544E" w:rsidR="009E67C3" w:rsidRDefault="009E67C3">
    <w:pPr>
      <w:pStyle w:val="Footer"/>
    </w:pPr>
    <w:r>
      <w:t>6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9471D9E" w14:textId="77777777" w:rsidR="0007415B" w:rsidRDefault="0007415B" w:rsidP="009E67C3">
      <w:r>
        <w:separator/>
      </w:r>
    </w:p>
  </w:footnote>
  <w:footnote w:type="continuationSeparator" w:id="0">
    <w:p w14:paraId="4865B93F" w14:textId="77777777" w:rsidR="0007415B" w:rsidRDefault="0007415B" w:rsidP="009E67C3">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B3E"/>
    <w:rsid w:val="0007415B"/>
    <w:rsid w:val="00075459"/>
    <w:rsid w:val="000973C8"/>
    <w:rsid w:val="000E4B3E"/>
    <w:rsid w:val="0015555C"/>
    <w:rsid w:val="00196BD4"/>
    <w:rsid w:val="001C2D4E"/>
    <w:rsid w:val="001C3B52"/>
    <w:rsid w:val="001D5CCB"/>
    <w:rsid w:val="00221081"/>
    <w:rsid w:val="0023540B"/>
    <w:rsid w:val="00265C12"/>
    <w:rsid w:val="002E03CD"/>
    <w:rsid w:val="002E758B"/>
    <w:rsid w:val="002F3C24"/>
    <w:rsid w:val="003257AF"/>
    <w:rsid w:val="003608A9"/>
    <w:rsid w:val="003B1626"/>
    <w:rsid w:val="003C73C7"/>
    <w:rsid w:val="003E7E31"/>
    <w:rsid w:val="003F7FEB"/>
    <w:rsid w:val="00413F3C"/>
    <w:rsid w:val="0048384D"/>
    <w:rsid w:val="004A328B"/>
    <w:rsid w:val="004A5A6A"/>
    <w:rsid w:val="004E3C50"/>
    <w:rsid w:val="005E4C05"/>
    <w:rsid w:val="005F7103"/>
    <w:rsid w:val="00613B71"/>
    <w:rsid w:val="00627FE5"/>
    <w:rsid w:val="006D750A"/>
    <w:rsid w:val="007205B1"/>
    <w:rsid w:val="007465A5"/>
    <w:rsid w:val="007922BC"/>
    <w:rsid w:val="007F4398"/>
    <w:rsid w:val="00833FD1"/>
    <w:rsid w:val="00837E4C"/>
    <w:rsid w:val="00851F7B"/>
    <w:rsid w:val="00856CEF"/>
    <w:rsid w:val="00871AC6"/>
    <w:rsid w:val="00875C64"/>
    <w:rsid w:val="008B05EB"/>
    <w:rsid w:val="0097547F"/>
    <w:rsid w:val="009856AD"/>
    <w:rsid w:val="009A4CB8"/>
    <w:rsid w:val="009B1E59"/>
    <w:rsid w:val="009E67C3"/>
    <w:rsid w:val="00A23EE9"/>
    <w:rsid w:val="00A60651"/>
    <w:rsid w:val="00A85CE3"/>
    <w:rsid w:val="00A90D82"/>
    <w:rsid w:val="00AD7581"/>
    <w:rsid w:val="00B33EC2"/>
    <w:rsid w:val="00B93369"/>
    <w:rsid w:val="00BA0847"/>
    <w:rsid w:val="00BA3BF2"/>
    <w:rsid w:val="00BC14E5"/>
    <w:rsid w:val="00BE4AFE"/>
    <w:rsid w:val="00C23A32"/>
    <w:rsid w:val="00C56B23"/>
    <w:rsid w:val="00C87B73"/>
    <w:rsid w:val="00CB6480"/>
    <w:rsid w:val="00CD63E6"/>
    <w:rsid w:val="00CF7072"/>
    <w:rsid w:val="00D82CB4"/>
    <w:rsid w:val="00DD1F2F"/>
    <w:rsid w:val="00DD59F8"/>
    <w:rsid w:val="00DF4D89"/>
    <w:rsid w:val="00E4388A"/>
    <w:rsid w:val="00E73AB2"/>
    <w:rsid w:val="00EA1F3C"/>
    <w:rsid w:val="00EB1486"/>
    <w:rsid w:val="00ED2B59"/>
    <w:rsid w:val="00F728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4FDBD"/>
  <w15:chartTrackingRefBased/>
  <w15:docId w15:val="{3DE7E0C2-163A-1040-A0D9-24B16192C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4B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E4B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E4B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E4B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E4B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E4B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4B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4B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4B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B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E4B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E4B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E4B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E4B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E4B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4B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4B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4B3E"/>
    <w:rPr>
      <w:rFonts w:eastAsiaTheme="majorEastAsia" w:cstheme="majorBidi"/>
      <w:color w:val="272727" w:themeColor="text1" w:themeTint="D8"/>
    </w:rPr>
  </w:style>
  <w:style w:type="paragraph" w:styleId="Title">
    <w:name w:val="Title"/>
    <w:basedOn w:val="Normal"/>
    <w:next w:val="Normal"/>
    <w:link w:val="TitleChar"/>
    <w:uiPriority w:val="10"/>
    <w:qFormat/>
    <w:rsid w:val="000E4B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4B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4B3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4B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4B3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4B3E"/>
    <w:rPr>
      <w:i/>
      <w:iCs/>
      <w:color w:val="404040" w:themeColor="text1" w:themeTint="BF"/>
    </w:rPr>
  </w:style>
  <w:style w:type="paragraph" w:styleId="ListParagraph">
    <w:name w:val="List Paragraph"/>
    <w:basedOn w:val="Normal"/>
    <w:uiPriority w:val="34"/>
    <w:qFormat/>
    <w:rsid w:val="000E4B3E"/>
    <w:pPr>
      <w:ind w:left="720"/>
      <w:contextualSpacing/>
    </w:pPr>
  </w:style>
  <w:style w:type="character" w:styleId="IntenseEmphasis">
    <w:name w:val="Intense Emphasis"/>
    <w:basedOn w:val="DefaultParagraphFont"/>
    <w:uiPriority w:val="21"/>
    <w:qFormat/>
    <w:rsid w:val="000E4B3E"/>
    <w:rPr>
      <w:i/>
      <w:iCs/>
      <w:color w:val="2F5496" w:themeColor="accent1" w:themeShade="BF"/>
    </w:rPr>
  </w:style>
  <w:style w:type="paragraph" w:styleId="IntenseQuote">
    <w:name w:val="Intense Quote"/>
    <w:basedOn w:val="Normal"/>
    <w:next w:val="Normal"/>
    <w:link w:val="IntenseQuoteChar"/>
    <w:uiPriority w:val="30"/>
    <w:qFormat/>
    <w:rsid w:val="000E4B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E4B3E"/>
    <w:rPr>
      <w:i/>
      <w:iCs/>
      <w:color w:val="2F5496" w:themeColor="accent1" w:themeShade="BF"/>
    </w:rPr>
  </w:style>
  <w:style w:type="character" w:styleId="IntenseReference">
    <w:name w:val="Intense Reference"/>
    <w:basedOn w:val="DefaultParagraphFont"/>
    <w:uiPriority w:val="32"/>
    <w:qFormat/>
    <w:rsid w:val="000E4B3E"/>
    <w:rPr>
      <w:b/>
      <w:bCs/>
      <w:smallCaps/>
      <w:color w:val="2F5496" w:themeColor="accent1" w:themeShade="BF"/>
      <w:spacing w:val="5"/>
    </w:rPr>
  </w:style>
  <w:style w:type="paragraph" w:styleId="BalloonText">
    <w:name w:val="Balloon Text"/>
    <w:basedOn w:val="Normal"/>
    <w:link w:val="BalloonTextChar"/>
    <w:uiPriority w:val="99"/>
    <w:semiHidden/>
    <w:unhideWhenUsed/>
    <w:rsid w:val="003257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57AF"/>
    <w:rPr>
      <w:rFonts w:ascii="Segoe UI" w:hAnsi="Segoe UI" w:cs="Segoe UI"/>
      <w:sz w:val="18"/>
      <w:szCs w:val="18"/>
    </w:rPr>
  </w:style>
  <w:style w:type="paragraph" w:styleId="Revision">
    <w:name w:val="Revision"/>
    <w:hidden/>
    <w:uiPriority w:val="99"/>
    <w:semiHidden/>
    <w:rsid w:val="007922BC"/>
  </w:style>
  <w:style w:type="character" w:styleId="CommentReference">
    <w:name w:val="annotation reference"/>
    <w:basedOn w:val="DefaultParagraphFont"/>
    <w:uiPriority w:val="99"/>
    <w:semiHidden/>
    <w:unhideWhenUsed/>
    <w:rsid w:val="007922BC"/>
    <w:rPr>
      <w:sz w:val="16"/>
      <w:szCs w:val="16"/>
    </w:rPr>
  </w:style>
  <w:style w:type="paragraph" w:styleId="CommentText">
    <w:name w:val="annotation text"/>
    <w:basedOn w:val="Normal"/>
    <w:link w:val="CommentTextChar"/>
    <w:uiPriority w:val="99"/>
    <w:unhideWhenUsed/>
    <w:rsid w:val="007922BC"/>
    <w:rPr>
      <w:sz w:val="20"/>
      <w:szCs w:val="20"/>
    </w:rPr>
  </w:style>
  <w:style w:type="character" w:customStyle="1" w:styleId="CommentTextChar">
    <w:name w:val="Comment Text Char"/>
    <w:basedOn w:val="DefaultParagraphFont"/>
    <w:link w:val="CommentText"/>
    <w:uiPriority w:val="99"/>
    <w:rsid w:val="007922BC"/>
    <w:rPr>
      <w:sz w:val="20"/>
      <w:szCs w:val="20"/>
    </w:rPr>
  </w:style>
  <w:style w:type="paragraph" w:styleId="CommentSubject">
    <w:name w:val="annotation subject"/>
    <w:basedOn w:val="CommentText"/>
    <w:next w:val="CommentText"/>
    <w:link w:val="CommentSubjectChar"/>
    <w:uiPriority w:val="99"/>
    <w:semiHidden/>
    <w:unhideWhenUsed/>
    <w:rsid w:val="007922BC"/>
    <w:rPr>
      <w:b/>
      <w:bCs/>
    </w:rPr>
  </w:style>
  <w:style w:type="character" w:customStyle="1" w:styleId="CommentSubjectChar">
    <w:name w:val="Comment Subject Char"/>
    <w:basedOn w:val="CommentTextChar"/>
    <w:link w:val="CommentSubject"/>
    <w:uiPriority w:val="99"/>
    <w:semiHidden/>
    <w:rsid w:val="007922BC"/>
    <w:rPr>
      <w:b/>
      <w:bCs/>
      <w:sz w:val="20"/>
      <w:szCs w:val="20"/>
    </w:rPr>
  </w:style>
  <w:style w:type="paragraph" w:styleId="Header">
    <w:name w:val="header"/>
    <w:basedOn w:val="Normal"/>
    <w:link w:val="HeaderChar"/>
    <w:uiPriority w:val="99"/>
    <w:unhideWhenUsed/>
    <w:rsid w:val="009E67C3"/>
    <w:pPr>
      <w:tabs>
        <w:tab w:val="center" w:pos="4513"/>
        <w:tab w:val="right" w:pos="9026"/>
      </w:tabs>
    </w:pPr>
  </w:style>
  <w:style w:type="character" w:customStyle="1" w:styleId="HeaderChar">
    <w:name w:val="Header Char"/>
    <w:basedOn w:val="DefaultParagraphFont"/>
    <w:link w:val="Header"/>
    <w:uiPriority w:val="99"/>
    <w:rsid w:val="009E67C3"/>
  </w:style>
  <w:style w:type="paragraph" w:styleId="Footer">
    <w:name w:val="footer"/>
    <w:basedOn w:val="Normal"/>
    <w:link w:val="FooterChar"/>
    <w:uiPriority w:val="99"/>
    <w:unhideWhenUsed/>
    <w:rsid w:val="009E67C3"/>
    <w:pPr>
      <w:tabs>
        <w:tab w:val="center" w:pos="4513"/>
        <w:tab w:val="right" w:pos="9026"/>
      </w:tabs>
    </w:pPr>
  </w:style>
  <w:style w:type="character" w:customStyle="1" w:styleId="FooterChar">
    <w:name w:val="Footer Char"/>
    <w:basedOn w:val="DefaultParagraphFont"/>
    <w:link w:val="Footer"/>
    <w:uiPriority w:val="99"/>
    <w:rsid w:val="009E67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1576</Words>
  <Characters>8984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McDougall</dc:creator>
  <cp:keywords/>
  <dc:description/>
  <cp:lastModifiedBy>Carrie McDougall</cp:lastModifiedBy>
  <cp:revision>7</cp:revision>
  <cp:lastPrinted>2026-06-23T07:29:00Z</cp:lastPrinted>
  <dcterms:created xsi:type="dcterms:W3CDTF">2026-08-05T21:44:00Z</dcterms:created>
  <dcterms:modified xsi:type="dcterms:W3CDTF">2026-08-05T21:55:00Z</dcterms:modified>
</cp:coreProperties>
</file>